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right"/>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Editorial Contact: </w:t>
      </w:r>
      <w:r w:rsidDel="00000000" w:rsidR="00000000" w:rsidRPr="00000000">
        <w:rPr>
          <w:rFonts w:ascii="Arial" w:cs="Arial" w:eastAsia="Arial" w:hAnsi="Arial"/>
          <w:sz w:val="20"/>
          <w:szCs w:val="20"/>
          <w:rtl w:val="0"/>
        </w:rPr>
        <w:t xml:space="preserve">Macy McElmury</w:t>
      </w:r>
    </w:p>
    <w:p w:rsidR="00000000" w:rsidDel="00000000" w:rsidP="00000000" w:rsidRDefault="00000000" w:rsidRPr="00000000" w14:paraId="00000002">
      <w:pPr>
        <w:jc w:val="right"/>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Email: </w:t>
      </w:r>
      <w:hyperlink r:id="rId7">
        <w:r w:rsidDel="00000000" w:rsidR="00000000" w:rsidRPr="00000000">
          <w:rPr>
            <w:rFonts w:ascii="Arial" w:cs="Arial" w:eastAsia="Arial" w:hAnsi="Arial"/>
            <w:color w:val="1155cc"/>
            <w:sz w:val="20"/>
            <w:szCs w:val="20"/>
            <w:u w:val="single"/>
            <w:rtl w:val="0"/>
          </w:rPr>
          <w:t xml:space="preserve">macym@anthologic.com</w:t>
        </w:r>
      </w:hyperlink>
      <w:r w:rsidDel="00000000" w:rsidR="00000000" w:rsidRPr="00000000">
        <w:rPr>
          <w:rtl w:val="0"/>
        </w:rPr>
      </w:r>
    </w:p>
    <w:p w:rsidR="00000000" w:rsidDel="00000000" w:rsidP="00000000" w:rsidRDefault="00000000" w:rsidRPr="00000000" w14:paraId="00000003">
      <w:pPr>
        <w:jc w:val="right"/>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Phone: </w:t>
      </w:r>
      <w:r w:rsidDel="00000000" w:rsidR="00000000" w:rsidRPr="00000000">
        <w:rPr>
          <w:rFonts w:ascii="Arial" w:cs="Arial" w:eastAsia="Arial" w:hAnsi="Arial"/>
          <w:sz w:val="20"/>
          <w:szCs w:val="20"/>
          <w:rtl w:val="0"/>
        </w:rPr>
        <w:t xml:space="preserve">515.224.7417</w:t>
      </w:r>
    </w:p>
    <w:p w:rsidR="00000000" w:rsidDel="00000000" w:rsidP="00000000" w:rsidRDefault="00000000" w:rsidRPr="00000000" w14:paraId="00000004">
      <w:pPr>
        <w:jc w:val="right"/>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5">
      <w:pP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06">
      <w:pP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For Immediate Release</w:t>
      </w:r>
    </w:p>
    <w:p w:rsidR="00000000" w:rsidDel="00000000" w:rsidP="00000000" w:rsidRDefault="00000000" w:rsidRPr="00000000" w14:paraId="00000007">
      <w:pPr>
        <w:rPr>
          <w:rFonts w:ascii="Arial" w:cs="Arial" w:eastAsia="Arial" w:hAnsi="Arial"/>
          <w:sz w:val="20"/>
          <w:szCs w:val="20"/>
        </w:rPr>
      </w:pPr>
      <w:r w:rsidDel="00000000" w:rsidR="00000000" w:rsidRPr="00000000">
        <w:rPr>
          <w:rFonts w:ascii="Arial" w:cs="Arial" w:eastAsia="Arial" w:hAnsi="Arial"/>
          <w:sz w:val="20"/>
          <w:szCs w:val="20"/>
          <w:rtl w:val="0"/>
        </w:rPr>
        <w:t xml:space="preserve">February 2026</w:t>
      </w:r>
    </w:p>
    <w:p w:rsidR="00000000" w:rsidDel="00000000" w:rsidP="00000000" w:rsidRDefault="00000000" w:rsidRPr="00000000" w14:paraId="00000008">
      <w:pPr>
        <w:ind w:left="-90" w:firstLine="0"/>
        <w:jc w:val="center"/>
        <w:rPr>
          <w:rFonts w:ascii="Arial" w:cs="Arial" w:eastAsia="Arial" w:hAnsi="Arial"/>
          <w:sz w:val="20"/>
          <w:szCs w:val="20"/>
        </w:rPr>
      </w:pPr>
      <w:r w:rsidDel="00000000" w:rsidR="00000000" w:rsidRPr="00000000">
        <w:rPr>
          <w:rFonts w:ascii="Arial" w:cs="Arial" w:eastAsia="Arial" w:hAnsi="Arial"/>
          <w:sz w:val="20"/>
          <w:szCs w:val="20"/>
          <w:rtl w:val="0"/>
        </w:rPr>
        <w:tab/>
        <w:tab/>
      </w:r>
    </w:p>
    <w:p w:rsidR="00000000" w:rsidDel="00000000" w:rsidP="00000000" w:rsidRDefault="00000000" w:rsidRPr="00000000" w14:paraId="00000009">
      <w:pPr>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Stellar</w:t>
      </w:r>
      <w:r w:rsidDel="00000000" w:rsidR="00000000" w:rsidRPr="00000000">
        <w:rPr>
          <w:rFonts w:ascii="Arial" w:cs="Arial" w:eastAsia="Arial" w:hAnsi="Arial"/>
          <w:b w:val="1"/>
          <w:bCs w:val="1"/>
          <w:sz w:val="20"/>
          <w:szCs w:val="20"/>
          <w:vertAlign w:val="superscript"/>
          <w:rtl w:val="0"/>
        </w:rPr>
        <w:t xml:space="preserve">®</w:t>
      </w:r>
      <w:r w:rsidDel="00000000" w:rsidR="00000000" w:rsidRPr="00000000">
        <w:rPr>
          <w:rFonts w:ascii="Arial" w:cs="Arial" w:eastAsia="Arial" w:hAnsi="Arial"/>
          <w:b w:val="1"/>
          <w:bCs w:val="1"/>
          <w:sz w:val="20"/>
          <w:szCs w:val="20"/>
          <w:rtl w:val="0"/>
        </w:rPr>
        <w:t xml:space="preserve"> Hybrid Power Source Selected as Finalist for CONEXPO-CON/AGG Next Level Awards</w:t>
      </w:r>
    </w:p>
    <w:p w:rsidR="00000000" w:rsidDel="00000000" w:rsidP="00000000" w:rsidRDefault="00000000" w:rsidRPr="00000000" w14:paraId="0000000A">
      <w:pPr>
        <w:jc w:val="cente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0B">
      <w:pPr>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LAS VEGAS, Nevad</w:t>
      </w:r>
      <w:r w:rsidDel="00000000" w:rsidR="00000000" w:rsidRPr="00000000">
        <w:rPr>
          <w:rFonts w:ascii="Arial" w:cs="Arial" w:eastAsia="Arial" w:hAnsi="Arial"/>
          <w:b w:val="1"/>
          <w:bCs w:val="1"/>
          <w:sz w:val="20"/>
          <w:szCs w:val="20"/>
          <w:rtl w:val="0"/>
        </w:rPr>
        <w:t xml:space="preserve">a </w:t>
      </w:r>
      <w:r w:rsidDel="00000000" w:rsidR="00000000" w:rsidRPr="00000000">
        <w:rPr>
          <w:rFonts w:ascii="Arial" w:cs="Arial" w:eastAsia="Arial" w:hAnsi="Arial"/>
          <w:sz w:val="20"/>
          <w:szCs w:val="20"/>
          <w:rtl w:val="0"/>
        </w:rPr>
        <w:t xml:space="preserve">—</w:t>
      </w:r>
      <w:r w:rsidDel="00000000" w:rsidR="00000000" w:rsidRPr="00000000">
        <w:rPr>
          <w:rFonts w:ascii="Arial" w:cs="Arial" w:eastAsia="Arial" w:hAnsi="Arial"/>
          <w:sz w:val="20"/>
          <w:szCs w:val="20"/>
          <w:rtl w:val="0"/>
        </w:rPr>
        <w:t xml:space="preserve"> (February 10, 2026) — </w:t>
      </w:r>
      <w:hyperlink r:id="rId8">
        <w:r w:rsidDel="00000000" w:rsidR="00000000" w:rsidRPr="00000000">
          <w:rPr>
            <w:rFonts w:ascii="Arial" w:cs="Arial" w:eastAsia="Arial" w:hAnsi="Arial"/>
            <w:color w:val="0563c1"/>
            <w:sz w:val="20"/>
            <w:szCs w:val="20"/>
            <w:u w:val="single"/>
            <w:rtl w:val="0"/>
          </w:rPr>
          <w:t xml:space="preserve">Stellar Industries</w:t>
        </w:r>
      </w:hyperlink>
      <w:r w:rsidDel="00000000" w:rsidR="00000000" w:rsidRPr="00000000">
        <w:rPr>
          <w:rFonts w:ascii="Arial" w:cs="Arial" w:eastAsia="Arial" w:hAnsi="Arial"/>
          <w:sz w:val="20"/>
          <w:szCs w:val="20"/>
          <w:rtl w:val="0"/>
        </w:rPr>
        <w:t xml:space="preserve">, a 100% employee-owned and -operated manufacturer of high-quality </w:t>
      </w:r>
      <w:hyperlink r:id="rId9">
        <w:r w:rsidDel="00000000" w:rsidR="00000000" w:rsidRPr="00000000">
          <w:rPr>
            <w:rFonts w:ascii="Arial" w:cs="Arial" w:eastAsia="Arial" w:hAnsi="Arial"/>
            <w:color w:val="0563c1"/>
            <w:sz w:val="20"/>
            <w:szCs w:val="20"/>
            <w:u w:val="single"/>
            <w:rtl w:val="0"/>
          </w:rPr>
          <w:t xml:space="preserve">work trucks</w:t>
        </w:r>
      </w:hyperlink>
      <w:r w:rsidDel="00000000" w:rsidR="00000000" w:rsidRPr="00000000">
        <w:rPr>
          <w:rFonts w:ascii="Arial" w:cs="Arial" w:eastAsia="Arial" w:hAnsi="Arial"/>
          <w:sz w:val="20"/>
          <w:szCs w:val="20"/>
          <w:rtl w:val="0"/>
        </w:rPr>
        <w:t xml:space="preserve">, </w:t>
      </w:r>
      <w:hyperlink r:id="rId10">
        <w:r w:rsidDel="00000000" w:rsidR="00000000" w:rsidRPr="00000000">
          <w:rPr>
            <w:rFonts w:ascii="Arial" w:cs="Arial" w:eastAsia="Arial" w:hAnsi="Arial"/>
            <w:color w:val="0563c1"/>
            <w:sz w:val="20"/>
            <w:szCs w:val="20"/>
            <w:u w:val="single"/>
            <w:rtl w:val="0"/>
          </w:rPr>
          <w:t xml:space="preserve">trailers</w:t>
        </w:r>
      </w:hyperlink>
      <w:r w:rsidDel="00000000" w:rsidR="00000000" w:rsidRPr="00000000">
        <w:rPr>
          <w:rFonts w:ascii="Arial" w:cs="Arial" w:eastAsia="Arial" w:hAnsi="Arial"/>
          <w:sz w:val="20"/>
          <w:szCs w:val="20"/>
          <w:rtl w:val="0"/>
        </w:rPr>
        <w:t xml:space="preserve"> and </w:t>
      </w:r>
      <w:hyperlink r:id="rId11">
        <w:r w:rsidDel="00000000" w:rsidR="00000000" w:rsidRPr="00000000">
          <w:rPr>
            <w:rFonts w:ascii="Arial" w:cs="Arial" w:eastAsia="Arial" w:hAnsi="Arial"/>
            <w:color w:val="0563c1"/>
            <w:sz w:val="20"/>
            <w:szCs w:val="20"/>
            <w:u w:val="single"/>
            <w:rtl w:val="0"/>
          </w:rPr>
          <w:t xml:space="preserve">service truck and van accessories</w:t>
        </w:r>
      </w:hyperlink>
      <w:r w:rsidDel="00000000" w:rsidR="00000000" w:rsidRPr="00000000">
        <w:rPr>
          <w:rFonts w:ascii="Arial" w:cs="Arial" w:eastAsia="Arial" w:hAnsi="Arial"/>
          <w:sz w:val="20"/>
          <w:szCs w:val="20"/>
          <w:rtl w:val="0"/>
        </w:rPr>
        <w:t xml:space="preserve">, is excited to announce its Hybrid Power Source (HPS) has been selected as a finalist for the CONEXPO-CON/AGG Next Level Awards. This awards program honors outstanding achievement and breakthroughs in the construction industry, with submissions judged on innovation, application, engineering, scalability and impact. This recognition places Stellar among the most innovative leaders in the field, underscoring its impact in the industry and dedication to moving it forward. The Stellar</w:t>
      </w:r>
      <w:r w:rsidDel="00000000" w:rsidR="00000000" w:rsidRPr="00000000">
        <w:rPr>
          <w:rFonts w:ascii="Arial" w:cs="Arial" w:eastAsia="Arial" w:hAnsi="Arial"/>
          <w:sz w:val="20"/>
          <w:szCs w:val="20"/>
          <w:vertAlign w:val="superscript"/>
          <w:rtl w:val="0"/>
        </w:rPr>
        <w:t xml:space="preserve">®</w:t>
      </w:r>
      <w:r w:rsidDel="00000000" w:rsidR="00000000" w:rsidRPr="00000000">
        <w:rPr>
          <w:rFonts w:ascii="Arial" w:cs="Arial" w:eastAsia="Arial" w:hAnsi="Arial"/>
          <w:sz w:val="20"/>
          <w:szCs w:val="20"/>
          <w:rtl w:val="0"/>
        </w:rPr>
        <w:t xml:space="preserve"> HPS is one of 10 finalists in the equipment category. These ten finalists will compete for the most attendee votes during CONEXPO-CON/AGG, March 3 – 7, 2026 in Las Vegas, Nevada.</w:t>
      </w:r>
    </w:p>
    <w:p w:rsidR="00000000" w:rsidDel="00000000" w:rsidP="00000000" w:rsidRDefault="00000000" w:rsidRPr="00000000" w14:paraId="0000000C">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D">
      <w:pPr>
        <w:rPr>
          <w:rFonts w:ascii="Arial" w:cs="Arial" w:eastAsia="Arial" w:hAnsi="Arial"/>
          <w:sz w:val="20"/>
          <w:szCs w:val="20"/>
        </w:rPr>
      </w:pPr>
      <w:r w:rsidDel="00000000" w:rsidR="00000000" w:rsidRPr="00000000">
        <w:rPr>
          <w:rFonts w:ascii="Arial" w:cs="Arial" w:eastAsia="Arial" w:hAnsi="Arial"/>
          <w:sz w:val="20"/>
          <w:szCs w:val="20"/>
          <w:rtl w:val="0"/>
        </w:rPr>
        <w:t xml:space="preserve">“It’s truly an honor to be named a finalist for this award,” said Tim Davison, Vice President of Sales and Marketing for Stellar. “Our team works hard to bring the needs of our customers to life — and that’s exactly what the HPS stands for. We are continuously improving our products to better serve an industry that continues to push the envelope.” </w:t>
      </w:r>
    </w:p>
    <w:p w:rsidR="00000000" w:rsidDel="00000000" w:rsidP="00000000" w:rsidRDefault="00000000" w:rsidRPr="00000000" w14:paraId="0000000E">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F">
      <w:pPr>
        <w:rPr>
          <w:rFonts w:ascii="Arial" w:cs="Arial" w:eastAsia="Arial" w:hAnsi="Arial"/>
          <w:sz w:val="20"/>
          <w:szCs w:val="20"/>
        </w:rPr>
      </w:pPr>
      <w:r w:rsidDel="00000000" w:rsidR="00000000" w:rsidRPr="00000000">
        <w:rPr>
          <w:rFonts w:ascii="Arial" w:cs="Arial" w:eastAsia="Arial" w:hAnsi="Arial"/>
          <w:sz w:val="20"/>
          <w:szCs w:val="20"/>
          <w:rtl w:val="0"/>
        </w:rPr>
        <w:t xml:space="preserve">“CONEXPO-CON/AGG is committed to celebrating innovation and recognizing those companies that are shaping the future of our industry,” said Dana Wuesthoff, CONEXPO-CON/AGG Show Director. “Being named a finalist for the Next Level Awards is a testament to the hard work, creativity and excellence that organizations like Stellar bring to our sector. We look forward to showcasing these outstanding achievements at the show.” </w:t>
      </w:r>
    </w:p>
    <w:p w:rsidR="00000000" w:rsidDel="00000000" w:rsidP="00000000" w:rsidRDefault="00000000" w:rsidRPr="00000000" w14:paraId="00000010">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1">
      <w:pP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About the HPS </w:t>
      </w:r>
    </w:p>
    <w:p w:rsidR="00000000" w:rsidDel="00000000" w:rsidP="00000000" w:rsidRDefault="00000000" w:rsidRPr="00000000" w14:paraId="00000012">
      <w:pPr>
        <w:rPr>
          <w:rFonts w:ascii="Arial" w:cs="Arial" w:eastAsia="Arial" w:hAnsi="Arial"/>
          <w:sz w:val="20"/>
          <w:szCs w:val="20"/>
        </w:rPr>
      </w:pPr>
      <w:r w:rsidDel="00000000" w:rsidR="00000000" w:rsidRPr="00000000">
        <w:rPr>
          <w:rFonts w:ascii="Arial" w:cs="Arial" w:eastAsia="Arial" w:hAnsi="Arial"/>
          <w:sz w:val="20"/>
          <w:szCs w:val="20"/>
          <w:rtl w:val="0"/>
        </w:rPr>
        <w:t xml:space="preserve">The Stellar</w:t>
      </w:r>
      <w:r w:rsidDel="00000000" w:rsidR="00000000" w:rsidRPr="00000000">
        <w:rPr>
          <w:rFonts w:ascii="Arial" w:cs="Arial" w:eastAsia="Arial" w:hAnsi="Arial"/>
          <w:sz w:val="20"/>
          <w:szCs w:val="20"/>
          <w:vertAlign w:val="superscript"/>
          <w:rtl w:val="0"/>
        </w:rPr>
        <w:t xml:space="preserve"> </w:t>
      </w:r>
      <w:r w:rsidDel="00000000" w:rsidR="00000000" w:rsidRPr="00000000">
        <w:rPr>
          <w:rFonts w:ascii="Arial" w:cs="Arial" w:eastAsia="Arial" w:hAnsi="Arial"/>
          <w:sz w:val="20"/>
          <w:szCs w:val="20"/>
          <w:rtl w:val="0"/>
        </w:rPr>
        <w:t xml:space="preserve">HPS is a first in the service truck industry — a fully integrated, emission-free power system designed to redefine how technicians work. By combining automotive-grade lithium-ion technology with a modular hydraulic power system, the HPS delivers clean, reliable energy for hydraulic tools and equipment without relying on the chassis engine. It’s not just a battery. It’s a power system engineered for the next generation of work.</w:t>
      </w:r>
    </w:p>
    <w:p w:rsidR="00000000" w:rsidDel="00000000" w:rsidP="00000000" w:rsidRDefault="00000000" w:rsidRPr="00000000" w14:paraId="00000013">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4">
      <w:pPr>
        <w:ind w:left="720" w:firstLine="0"/>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Innovation That Drives Change</w:t>
      </w:r>
      <w:r w:rsidDel="00000000" w:rsidR="00000000" w:rsidRPr="00000000">
        <w:rPr>
          <w:rtl w:val="0"/>
        </w:rPr>
      </w:r>
    </w:p>
    <w:p w:rsidR="00000000" w:rsidDel="00000000" w:rsidP="00000000" w:rsidRDefault="00000000" w:rsidRPr="00000000" w14:paraId="00000015">
      <w:pPr>
        <w:ind w:left="72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The HPS transforms how service trucks deliver power. The system provides 100% emission-free, low-voltage energy to operate hydraulic tools, cranes, compressors and stabilizers quietly and efficiently on the jobsite. With anti-idle compliance and modular battery configurations, operators can choose the ideal setup for their runtime and performance needs.</w:t>
      </w:r>
    </w:p>
    <w:p w:rsidR="00000000" w:rsidDel="00000000" w:rsidP="00000000" w:rsidRDefault="00000000" w:rsidRPr="00000000" w14:paraId="00000016">
      <w:pPr>
        <w:ind w:left="720"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7">
      <w:pPr>
        <w:ind w:left="72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When charging is required, the system automatically uses the truck’s alternator  — even while driving to the next jobsite —  or standard 120V connection to recharge, helping eliminate downtime while reducing fuel use and emissions.</w:t>
      </w:r>
    </w:p>
    <w:p w:rsidR="00000000" w:rsidDel="00000000" w:rsidP="00000000" w:rsidRDefault="00000000" w:rsidRPr="00000000" w14:paraId="00000018">
      <w:pPr>
        <w:ind w:left="720"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9">
      <w:pPr>
        <w:ind w:left="720" w:firstLine="0"/>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Application That Spans Every Fleet</w:t>
      </w:r>
      <w:r w:rsidDel="00000000" w:rsidR="00000000" w:rsidRPr="00000000">
        <w:rPr>
          <w:rtl w:val="0"/>
        </w:rPr>
      </w:r>
    </w:p>
    <w:p w:rsidR="00000000" w:rsidDel="00000000" w:rsidP="00000000" w:rsidRDefault="00000000" w:rsidRPr="00000000" w14:paraId="0000001A">
      <w:pPr>
        <w:ind w:left="72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Designed to work seamlessly with both internal combustion engine (ICE) and electric vehicle (EV) chassis, the HPS bridges the gap between today’s service trucks and tomorrow’s zero-emission fleets.</w:t>
      </w:r>
    </w:p>
    <w:p w:rsidR="00000000" w:rsidDel="00000000" w:rsidP="00000000" w:rsidRDefault="00000000" w:rsidRPr="00000000" w14:paraId="0000001B">
      <w:pPr>
        <w:numPr>
          <w:ilvl w:val="0"/>
          <w:numId w:val="1"/>
        </w:numPr>
        <w:ind w:left="144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On ICE chassis, the HPS draws power from the engine for quick recharges, minimizing system size and cost.</w:t>
      </w:r>
    </w:p>
    <w:p w:rsidR="00000000" w:rsidDel="00000000" w:rsidP="00000000" w:rsidRDefault="00000000" w:rsidRPr="00000000" w14:paraId="0000001C">
      <w:pPr>
        <w:numPr>
          <w:ilvl w:val="0"/>
          <w:numId w:val="1"/>
        </w:numPr>
        <w:ind w:left="144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On EV chassis, it functions independently as a standalone power source, supporting the shift to all-electric operations.</w:t>
      </w:r>
    </w:p>
    <w:p w:rsidR="00000000" w:rsidDel="00000000" w:rsidP="00000000" w:rsidRDefault="00000000" w:rsidRPr="00000000" w14:paraId="0000001D">
      <w:pPr>
        <w:ind w:left="720"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E">
      <w:pPr>
        <w:ind w:left="72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This flexibility makes HPS a future-ready solution adaptable to any powertrain or jobsite environment.</w:t>
      </w:r>
    </w:p>
    <w:p w:rsidR="00000000" w:rsidDel="00000000" w:rsidP="00000000" w:rsidRDefault="00000000" w:rsidRPr="00000000" w14:paraId="0000001F">
      <w:pPr>
        <w:ind w:left="720"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0">
      <w:pPr>
        <w:ind w:left="720" w:firstLine="0"/>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Engineering That Leads the Industry</w:t>
      </w:r>
      <w:r w:rsidDel="00000000" w:rsidR="00000000" w:rsidRPr="00000000">
        <w:rPr>
          <w:rtl w:val="0"/>
        </w:rPr>
      </w:r>
    </w:p>
    <w:p w:rsidR="00000000" w:rsidDel="00000000" w:rsidP="00000000" w:rsidRDefault="00000000" w:rsidRPr="00000000" w14:paraId="00000021">
      <w:pPr>
        <w:ind w:left="72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Built on proven automotive-grade lithium-ion technology, the HPS provides up to 12.8 kWh of output and up to eight hours of runtime in the slimmest, lightest configuration in its class. The design incorporates integrated thermal protection for reliable performance in extreme climates and includes a heating system to maintain optimal charging temperatures in cold conditions.</w:t>
      </w:r>
    </w:p>
    <w:p w:rsidR="00000000" w:rsidDel="00000000" w:rsidP="00000000" w:rsidRDefault="00000000" w:rsidRPr="00000000" w14:paraId="00000022">
      <w:pPr>
        <w:ind w:left="720"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3">
      <w:pPr>
        <w:ind w:left="72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At just 790 pounds, the self-contained system can be mounted in the load bed or side pack, making it an easy addition to any new build or retrofit. Internal flow and pressure control ensure consistent hydraulic performance equal to or greater than traditional power take-off (PTO) systems — without the noise, emissions or maintenance demands.</w:t>
      </w:r>
    </w:p>
    <w:p w:rsidR="00000000" w:rsidDel="00000000" w:rsidP="00000000" w:rsidRDefault="00000000" w:rsidRPr="00000000" w14:paraId="00000024">
      <w:pPr>
        <w:ind w:left="720"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5">
      <w:pPr>
        <w:ind w:left="720" w:firstLine="0"/>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Scalability That Powers the Future</w:t>
      </w:r>
      <w:r w:rsidDel="00000000" w:rsidR="00000000" w:rsidRPr="00000000">
        <w:rPr>
          <w:rtl w:val="0"/>
        </w:rPr>
      </w:r>
    </w:p>
    <w:p w:rsidR="00000000" w:rsidDel="00000000" w:rsidP="00000000" w:rsidRDefault="00000000" w:rsidRPr="00000000" w14:paraId="00000026">
      <w:pPr>
        <w:ind w:left="72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The modular battery design allows fleets to right-size power capacity based on operational needs, with configurations scalable across multiple vehicle types. Designed for integration with Stellar cranes, stabilizers and compressors, the HPS serves as a single, standardized power source — simplifying training, service and fleet management.</w:t>
      </w:r>
    </w:p>
    <w:p w:rsidR="00000000" w:rsidDel="00000000" w:rsidP="00000000" w:rsidRDefault="00000000" w:rsidRPr="00000000" w14:paraId="00000027">
      <w:pPr>
        <w:ind w:left="720"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8">
      <w:pPr>
        <w:ind w:left="720" w:firstLine="0"/>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The Next Level of Work Truck Power</w:t>
      </w:r>
      <w:r w:rsidDel="00000000" w:rsidR="00000000" w:rsidRPr="00000000">
        <w:rPr>
          <w:rtl w:val="0"/>
        </w:rPr>
      </w:r>
    </w:p>
    <w:p w:rsidR="00000000" w:rsidDel="00000000" w:rsidP="00000000" w:rsidRDefault="00000000" w:rsidRPr="00000000" w14:paraId="00000029">
      <w:pPr>
        <w:ind w:left="72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The Stellar Hybrid Power Source isn’t just an energy solution — it’s a reimagining of how work gets done. With its low-voltage design, unmatched flexibility and cleaner, quieter performance, the HPS delivers the future of service truck power — today.</w:t>
      </w:r>
    </w:p>
    <w:p w:rsidR="00000000" w:rsidDel="00000000" w:rsidP="00000000" w:rsidRDefault="00000000" w:rsidRPr="00000000" w14:paraId="0000002A">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B">
      <w:pPr>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On-Site Voting Details</w:t>
      </w:r>
      <w:r w:rsidDel="00000000" w:rsidR="00000000" w:rsidRPr="00000000">
        <w:rPr>
          <w:rtl w:val="0"/>
        </w:rPr>
      </w:r>
    </w:p>
    <w:p w:rsidR="00000000" w:rsidDel="00000000" w:rsidP="00000000" w:rsidRDefault="00000000" w:rsidRPr="00000000" w14:paraId="0000002C">
      <w:pPr>
        <w:rPr>
          <w:rFonts w:ascii="Arial" w:cs="Arial" w:eastAsia="Arial" w:hAnsi="Arial"/>
          <w:sz w:val="20"/>
          <w:szCs w:val="20"/>
        </w:rPr>
      </w:pPr>
      <w:r w:rsidDel="00000000" w:rsidR="00000000" w:rsidRPr="00000000">
        <w:rPr>
          <w:rFonts w:ascii="Arial" w:cs="Arial" w:eastAsia="Arial" w:hAnsi="Arial"/>
          <w:sz w:val="20"/>
          <w:szCs w:val="20"/>
          <w:rtl w:val="0"/>
        </w:rPr>
        <w:t xml:space="preserve">Voting for the Next Level Awards will take place on-site from March 3 – 5 during regular show hours. Attendees are encouraged to visit the finalists’ exhibits to learn more about these groundbreaking products and solutions before they cast their vote in both the equipment and technology category. Winners will be crowned on the Ground Breakers Stage on Friday, March 6, at 10:30 a.m.</w:t>
      </w:r>
    </w:p>
    <w:p w:rsidR="00000000" w:rsidDel="00000000" w:rsidP="00000000" w:rsidRDefault="00000000" w:rsidRPr="00000000" w14:paraId="0000002D">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E">
      <w:pPr>
        <w:rPr>
          <w:rFonts w:ascii="Arial" w:cs="Arial" w:eastAsia="Arial" w:hAnsi="Arial"/>
          <w:sz w:val="20"/>
          <w:szCs w:val="20"/>
        </w:rPr>
      </w:pPr>
      <w:r w:rsidDel="00000000" w:rsidR="00000000" w:rsidRPr="00000000">
        <w:rPr>
          <w:rFonts w:ascii="Arial" w:cs="Arial" w:eastAsia="Arial" w:hAnsi="Arial"/>
          <w:sz w:val="20"/>
          <w:szCs w:val="20"/>
          <w:rtl w:val="0"/>
        </w:rPr>
        <w:t xml:space="preserve">For more information about the HPS, visit booth S61822 at CONEXPO-CON/AGG or visit </w:t>
      </w:r>
      <w:hyperlink r:id="rId12">
        <w:r w:rsidDel="00000000" w:rsidR="00000000" w:rsidRPr="00000000">
          <w:rPr>
            <w:rFonts w:ascii="Arial" w:cs="Arial" w:eastAsia="Arial" w:hAnsi="Arial"/>
            <w:color w:val="1155cc"/>
            <w:sz w:val="20"/>
            <w:szCs w:val="20"/>
            <w:u w:val="single"/>
            <w:rtl w:val="0"/>
          </w:rPr>
          <w:t xml:space="preserve">stellarindustries.com</w:t>
        </w:r>
      </w:hyperlink>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2F">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031">
      <w:pPr>
        <w:rPr>
          <w:rFonts w:ascii="Arial" w:cs="Arial" w:eastAsia="Arial" w:hAnsi="Arial"/>
          <w:b w:val="1"/>
          <w:bCs w:val="1"/>
          <w:i w:val="1"/>
          <w:iCs w:val="1"/>
          <w:color w:val="222222"/>
          <w:sz w:val="20"/>
          <w:szCs w:val="20"/>
          <w:highlight w:val="white"/>
        </w:rPr>
      </w:pPr>
      <w:r w:rsidDel="00000000" w:rsidR="00000000" w:rsidRPr="00000000">
        <w:rPr>
          <w:rFonts w:ascii="Arial" w:cs="Arial" w:eastAsia="Arial" w:hAnsi="Arial"/>
          <w:b w:val="1"/>
          <w:bCs w:val="1"/>
          <w:i w:val="1"/>
          <w:iCs w:val="1"/>
          <w:color w:val="222222"/>
          <w:sz w:val="20"/>
          <w:szCs w:val="20"/>
          <w:highlight w:val="white"/>
          <w:rtl w:val="0"/>
        </w:rPr>
        <w:t xml:space="preserve">About Stellar</w:t>
      </w:r>
    </w:p>
    <w:p w:rsidR="00000000" w:rsidDel="00000000" w:rsidP="00000000" w:rsidRDefault="00000000" w:rsidRPr="00000000" w14:paraId="00000032">
      <w:pPr>
        <w:rPr>
          <w:rFonts w:ascii="Arial" w:cs="Arial" w:eastAsia="Arial" w:hAnsi="Arial"/>
          <w:sz w:val="20"/>
          <w:szCs w:val="20"/>
        </w:rPr>
      </w:pPr>
      <w:r w:rsidDel="00000000" w:rsidR="00000000" w:rsidRPr="00000000">
        <w:rPr>
          <w:rFonts w:ascii="Arial" w:cs="Arial" w:eastAsia="Arial" w:hAnsi="Arial"/>
          <w:i w:val="1"/>
          <w:iCs w:val="1"/>
          <w:color w:val="222222"/>
          <w:sz w:val="20"/>
          <w:szCs w:val="20"/>
          <w:highlight w:val="white"/>
          <w:rtl w:val="0"/>
        </w:rPr>
        <w:t xml:space="preserve">Stellar was founded in 1990 in Garner, Iowa, and has since expanded operations to multiple U.S. locations. Stellar is a 100% employee-owned and -operated manufacturer of high-quality work trucks and trailers, in addition to service truck and van accessories. Through the innovative, growing product line and an expanding distribution network, the company has gained an international presence and become the No. 1 productivity choice in many markets.  </w:t>
      </w:r>
      <w:r w:rsidDel="00000000" w:rsidR="00000000" w:rsidRPr="00000000">
        <w:rPr>
          <w:rtl w:val="0"/>
        </w:rPr>
      </w:r>
    </w:p>
    <w:p w:rsidR="00000000" w:rsidDel="00000000" w:rsidP="00000000" w:rsidRDefault="00000000" w:rsidRPr="00000000" w14:paraId="00000033">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4">
      <w:pP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About CONEXPO-CON/AGG</w:t>
      </w:r>
    </w:p>
    <w:p w:rsidR="00000000" w:rsidDel="00000000" w:rsidP="00000000" w:rsidRDefault="00000000" w:rsidRPr="00000000" w14:paraId="00000035">
      <w:pPr>
        <w:rPr>
          <w:rFonts w:ascii="Arial" w:cs="Arial" w:eastAsia="Arial" w:hAnsi="Arial"/>
          <w:sz w:val="20"/>
          <w:szCs w:val="20"/>
        </w:rPr>
      </w:pPr>
      <w:r w:rsidDel="00000000" w:rsidR="00000000" w:rsidRPr="00000000">
        <w:rPr>
          <w:rFonts w:ascii="Arial" w:cs="Arial" w:eastAsia="Arial" w:hAnsi="Arial"/>
          <w:sz w:val="20"/>
          <w:szCs w:val="20"/>
          <w:rtl w:val="0"/>
        </w:rPr>
        <w:t xml:space="preserve">Held every three years, CONEXPO-CON/AGG is the must-attend event for construction industry professionals. The show features the latest equipment, products, services and technologies for the construction industry, as well as industry-leading education. CONEXPO-CON/AGG is owned in partnership with NRMCA, NSSGA and AEM and managed by AEM. The next CONEXPO-CON/AGG will be held March 3 – 7, 2026, in Las Vegas, Nevada. For more information on CONEXPO-CON/AGG, visit https://www.conexpoconagg.</w:t>
      </w:r>
    </w:p>
    <w:sectPr>
      <w:headerReference r:id="rId13" w:type="default"/>
      <w:headerReference r:id="rId14" w:type="first"/>
      <w:headerReference r:id="rId15" w:type="even"/>
      <w:footerReference r:id="rId16" w:type="default"/>
      <w:footerReference r:id="rId17" w:type="first"/>
      <w:footerReference r:id="rId18" w:type="even"/>
      <w:pgSz w:h="15840" w:w="12240" w:orient="portrait"/>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Pr>
      <w:drawing>
        <wp:inline distB="0" distT="0" distL="0" distR="0">
          <wp:extent cx="8254328" cy="741436"/>
          <wp:effectExtent b="0" l="0" r="0" t="0"/>
          <wp:docPr id="16" name="image2.png"/>
          <a:graphic>
            <a:graphicData uri="http://schemas.openxmlformats.org/drawingml/2006/picture">
              <pic:pic>
                <pic:nvPicPr>
                  <pic:cNvPr id="0" name="image2.png"/>
                  <pic:cNvPicPr preferRelativeResize="0"/>
                </pic:nvPicPr>
                <pic:blipFill>
                  <a:blip r:embed="rId1"/>
                  <a:srcRect b="-15978" l="3665" r="0" t="1"/>
                  <a:stretch>
                    <a:fillRect/>
                  </a:stretch>
                </pic:blipFill>
                <pic:spPr>
                  <a:xfrm>
                    <a:off x="0" y="0"/>
                    <a:ext cx="8254328" cy="741436"/>
                  </a:xfrm>
                  <a:prstGeom prst="rect"/>
                  <a:ln/>
                </pic:spPr>
              </pic:pic>
            </a:graphicData>
          </a:graphic>
        </wp:inline>
      </w:drawing>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1"/>
      <w:tblW w:w="9350.0" w:type="dxa"/>
      <w:jc w:val="left"/>
      <w:tblBorders>
        <w:top w:color="000000" w:space="0" w:sz="0" w:val="nil"/>
        <w:left w:color="000000" w:space="0" w:sz="0" w:val="nil"/>
        <w:bottom w:color="000000" w:space="0" w:sz="0" w:val="nil"/>
        <w:right w:color="000000" w:space="0" w:sz="0" w:val="nil"/>
        <w:insideH w:color="000000" w:space="0" w:sz="0" w:val="nil"/>
        <w:insideV w:color="4d4d4c" w:space="0" w:sz="8" w:val="single"/>
      </w:tblBorders>
      <w:tblLayout w:type="fixed"/>
      <w:tblLook w:val="0400"/>
    </w:tblPr>
    <w:tblGrid>
      <w:gridCol w:w="3780"/>
      <w:gridCol w:w="5570"/>
      <w:tblGridChange w:id="0">
        <w:tblGrid>
          <w:gridCol w:w="3780"/>
          <w:gridCol w:w="5570"/>
        </w:tblGrid>
      </w:tblGridChange>
    </w:tblGrid>
    <w:tr>
      <w:trPr>
        <w:cantSplit w:val="0"/>
        <w:trHeight w:val="180" w:hRule="atLeast"/>
        <w:tblHeader w:val="0"/>
      </w:trPr>
      <w:tc>
        <w:tcPr/>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drawing>
              <wp:inline distB="114300" distT="114300" distL="114300" distR="114300">
                <wp:extent cx="2266950" cy="914400"/>
                <wp:effectExtent b="0" l="0" r="0" t="0"/>
                <wp:docPr id="15"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2266950" cy="914400"/>
                        </a:xfrm>
                        <a:prstGeom prst="rect"/>
                        <a:ln/>
                      </pic:spPr>
                    </pic:pic>
                  </a:graphicData>
                </a:graphic>
              </wp:inline>
            </w:drawing>
          </w:r>
          <w:r w:rsidDel="00000000" w:rsidR="00000000" w:rsidRPr="00000000">
            <w:rPr>
              <w:rtl w:val="0"/>
            </w:rPr>
          </w:r>
        </w:p>
      </w:tc>
      <w:tc>
        <w:tcPr/>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76" w:lineRule="auto"/>
            <w:ind w:left="0" w:right="0" w:firstLine="0"/>
            <w:jc w:val="left"/>
            <w:rPr>
              <w:rFonts w:ascii="Arial" w:cs="Arial" w:eastAsia="Arial" w:hAnsi="Arial"/>
              <w:b w:val="0"/>
              <w:bCs w:val="0"/>
              <w:i w:val="0"/>
              <w:iCs w:val="0"/>
              <w:smallCaps w:val="0"/>
              <w:strike w:val="0"/>
              <w:color w:val="4d4d4c"/>
              <w:sz w:val="18"/>
              <w:szCs w:val="18"/>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76" w:lineRule="auto"/>
            <w:ind w:left="0" w:right="0" w:firstLine="0"/>
            <w:jc w:val="left"/>
            <w:rPr>
              <w:rFonts w:ascii="Arial" w:cs="Arial" w:eastAsia="Arial" w:hAnsi="Arial"/>
              <w:b w:val="0"/>
              <w:bCs w:val="0"/>
              <w:i w:val="0"/>
              <w:iCs w:val="0"/>
              <w:smallCaps w:val="0"/>
              <w:strike w:val="0"/>
              <w:color w:val="4d4d4c"/>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4d4d4c"/>
              <w:sz w:val="20"/>
              <w:szCs w:val="20"/>
              <w:u w:val="none"/>
              <w:shd w:fill="auto" w:val="clear"/>
              <w:vertAlign w:val="baseline"/>
              <w:rtl w:val="0"/>
            </w:rPr>
            <w:t xml:space="preserve">         </w:t>
          </w:r>
          <w:hyperlink r:id="rId2">
            <w:r w:rsidDel="00000000" w:rsidR="00000000" w:rsidRPr="00000000">
              <w:rPr>
                <w:rFonts w:ascii="Arial" w:cs="Arial" w:eastAsia="Arial" w:hAnsi="Arial"/>
                <w:b w:val="0"/>
                <w:bCs w:val="0"/>
                <w:i w:val="0"/>
                <w:iCs w:val="0"/>
                <w:smallCaps w:val="0"/>
                <w:strike w:val="0"/>
                <w:color w:val="1155cc"/>
                <w:sz w:val="20"/>
                <w:szCs w:val="20"/>
                <w:u w:val="single"/>
                <w:shd w:fill="auto" w:val="clear"/>
                <w:vertAlign w:val="baseline"/>
                <w:rtl w:val="0"/>
              </w:rPr>
              <w:t xml:space="preserve">stellarindustries.com</w:t>
            </w:r>
          </w:hyperlink>
          <w:r w:rsidDel="00000000" w:rsidR="00000000" w:rsidRPr="00000000">
            <w:rPr>
              <w:rFonts w:ascii="Arial" w:cs="Arial" w:eastAsia="Arial" w:hAnsi="Arial"/>
              <w:b w:val="0"/>
              <w:bCs w:val="0"/>
              <w:i w:val="0"/>
              <w:iCs w:val="0"/>
              <w:smallCaps w:val="0"/>
              <w:strike w:val="0"/>
              <w:color w:val="4d4d4c"/>
              <w:sz w:val="20"/>
              <w:szCs w:val="20"/>
              <w:u w:val="none"/>
              <w:shd w:fill="auto" w:val="clear"/>
              <w:vertAlign w:val="baseline"/>
              <w:rtl w:val="0"/>
            </w:rPr>
            <w:t xml:space="preserve"> | 800.321.3741</w:t>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4d4d4c"/>
              <w:sz w:val="20"/>
              <w:szCs w:val="20"/>
              <w:u w:val="none"/>
              <w:shd w:fill="auto" w:val="clear"/>
              <w:vertAlign w:val="baseline"/>
              <w:rtl w:val="0"/>
            </w:rPr>
            <w:t xml:space="preserve">         190 State St, Garner, IA 50438</w:t>
          </w:r>
          <w:r w:rsidDel="00000000" w:rsidR="00000000" w:rsidRPr="00000000">
            <w:rPr>
              <w:rtl w:val="0"/>
            </w:rPr>
          </w:r>
        </w:p>
      </w:tc>
    </w:tr>
  </w:tbl>
  <w:p w:rsidR="00000000" w:rsidDel="00000000" w:rsidP="00000000" w:rsidRDefault="00000000" w:rsidRPr="00000000" w14:paraId="0000003B">
    <w:pP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rial" w:cs="Arial" w:eastAsia="Arial" w:hAnsi="Arial"/>
        <w:b w:val="1"/>
        <w:bCs w:val="1"/>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rsid w:val="000714C2"/>
    <w:pPr>
      <w:tabs>
        <w:tab w:val="center" w:pos="4680"/>
        <w:tab w:val="right" w:pos="9360"/>
      </w:tabs>
    </w:pPr>
  </w:style>
  <w:style w:type="character" w:styleId="HeaderChar" w:customStyle="1">
    <w:name w:val="Header Char"/>
    <w:basedOn w:val="DefaultParagraphFont"/>
    <w:link w:val="Header"/>
    <w:uiPriority w:val="99"/>
    <w:rsid w:val="000714C2"/>
  </w:style>
  <w:style w:type="paragraph" w:styleId="Footer">
    <w:name w:val="footer"/>
    <w:basedOn w:val="Normal"/>
    <w:link w:val="FooterChar"/>
    <w:uiPriority w:val="99"/>
    <w:unhideWhenUsed w:val="1"/>
    <w:rsid w:val="000714C2"/>
    <w:pPr>
      <w:tabs>
        <w:tab w:val="center" w:pos="4680"/>
        <w:tab w:val="right" w:pos="9360"/>
      </w:tabs>
    </w:pPr>
  </w:style>
  <w:style w:type="character" w:styleId="FooterChar" w:customStyle="1">
    <w:name w:val="Footer Char"/>
    <w:basedOn w:val="DefaultParagraphFont"/>
    <w:link w:val="Footer"/>
    <w:uiPriority w:val="99"/>
    <w:rsid w:val="000714C2"/>
  </w:style>
  <w:style w:type="table" w:styleId="TableGrid">
    <w:name w:val="Table Grid"/>
    <w:basedOn w:val="TableNormal"/>
    <w:uiPriority w:val="39"/>
    <w:rsid w:val="000714C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uiPriority w:val="9"/>
    <w:rsid w:val="000714C2"/>
    <w:rPr>
      <w:rFonts w:asciiTheme="majorHAnsi" w:cstheme="majorBidi" w:eastAsiaTheme="majorEastAsia" w:hAnsiTheme="majorHAnsi"/>
      <w:color w:val="2f5496" w:themeColor="accent1" w:themeShade="0000BF"/>
      <w:sz w:val="32"/>
      <w:szCs w:val="32"/>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1">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www.stellarindustries.com/product-category/service-truck-van-accessories/" TargetMode="External"/><Relationship Id="rId10" Type="http://schemas.openxmlformats.org/officeDocument/2006/relationships/hyperlink" Target="https://www.stellarindustries.com/products/" TargetMode="External"/><Relationship Id="rId13" Type="http://schemas.openxmlformats.org/officeDocument/2006/relationships/header" Target="header1.xml"/><Relationship Id="rId12" Type="http://schemas.openxmlformats.org/officeDocument/2006/relationships/hyperlink" Target="https://www.stellarindustries.com/products/service-truck-van-accessories/power-units/hybrid-power-source/"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stellarindustries.com/products/" TargetMode="External"/><Relationship Id="rId15" Type="http://schemas.openxmlformats.org/officeDocument/2006/relationships/header" Target="header3.xml"/><Relationship Id="rId14" Type="http://schemas.openxmlformats.org/officeDocument/2006/relationships/header" Target="header2.xml"/><Relationship Id="rId17" Type="http://schemas.openxmlformats.org/officeDocument/2006/relationships/footer" Target="footer2.xml"/><Relationship Id="rId16"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18" Type="http://schemas.openxmlformats.org/officeDocument/2006/relationships/footer" Target="footer3.xml"/><Relationship Id="rId7" Type="http://schemas.openxmlformats.org/officeDocument/2006/relationships/hyperlink" Target="mailto:macym@anthologic.com" TargetMode="External"/><Relationship Id="rId8" Type="http://schemas.openxmlformats.org/officeDocument/2006/relationships/hyperlink" Target="https://www.stellarindustries.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hyperlink" Target="https://www.stellarindustrie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DyXqfEexbsE0hArvF+3hM+z9POA==">CgMxLjA4AHIhMWM0Uk5zSDlBd214Q0Zjemgxb1JIc2JFZTlNWjBzUTNv</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2022-05-05T19:25:00Z</dcterms:created>
  <dc:creator>Kelsey Meyer</dc:creator>
</cp:coreProperties>
</file>